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A" w:rsidRPr="00C476FB" w:rsidRDefault="008F5DCA" w:rsidP="0088683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6FB6" w:rsidRPr="00C476FB" w:rsidRDefault="00C36FB6" w:rsidP="0088683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36FB6" w:rsidRPr="00C476FB" w:rsidRDefault="006346F6" w:rsidP="008868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A36DF6" w:rsidRPr="00C476FB" w:rsidRDefault="00A36DF6" w:rsidP="0088683A">
      <w:pPr>
        <w:jc w:val="center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„</w:t>
      </w:r>
      <w:r w:rsidR="007F4D4D"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Akční plán 2015-2016</w:t>
      </w:r>
      <w:r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“</w:t>
      </w: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 </w:t>
      </w:r>
    </w:p>
    <w:p w:rsidR="00C36FB6" w:rsidRPr="00C476FB" w:rsidRDefault="00C36FB6" w:rsidP="0088683A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2C07FF">
        <w:rPr>
          <w:rFonts w:ascii="Times New Roman" w:hAnsi="Times New Roman"/>
          <w:b/>
          <w:sz w:val="24"/>
          <w:szCs w:val="24"/>
        </w:rPr>
        <w:t>/02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8683A">
      <w:pPr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88683A">
      <w:pPr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6346F6">
        <w:rPr>
          <w:rFonts w:ascii="Times New Roman" w:hAnsi="Times New Roman"/>
          <w:sz w:val="24"/>
          <w:szCs w:val="24"/>
        </w:rPr>
        <w:t xml:space="preserve"> 8. 12</w:t>
      </w:r>
      <w:r w:rsidR="007F4D4D" w:rsidRPr="00C476FB">
        <w:rPr>
          <w:rFonts w:ascii="Times New Roman" w:hAnsi="Times New Roman"/>
          <w:sz w:val="24"/>
          <w:szCs w:val="24"/>
        </w:rPr>
        <w:t>. 2015,  13.3</w:t>
      </w:r>
      <w:r w:rsidR="005B4E43">
        <w:rPr>
          <w:rFonts w:ascii="Times New Roman" w:hAnsi="Times New Roman"/>
          <w:sz w:val="24"/>
          <w:szCs w:val="24"/>
        </w:rPr>
        <w:t>0-16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A732AB" w:rsidRDefault="00A732AB" w:rsidP="0088683A">
      <w:pPr>
        <w:rPr>
          <w:rFonts w:ascii="Times New Roman" w:hAnsi="Times New Roman"/>
          <w:sz w:val="24"/>
          <w:szCs w:val="24"/>
        </w:rPr>
      </w:pPr>
    </w:p>
    <w:p w:rsidR="00E21CAC" w:rsidRPr="00C476FB" w:rsidRDefault="00E21CAC" w:rsidP="0088683A">
      <w:pPr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2D3F71">
      <w:pPr>
        <w:spacing w:after="120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proofErr w:type="spellStart"/>
      <w:r w:rsidRPr="00C476FB">
        <w:rPr>
          <w:rFonts w:ascii="Times New Roman" w:hAnsi="Times New Roman" w:cs="Times New Roman"/>
        </w:rPr>
        <w:t>Anca</w:t>
      </w:r>
      <w:proofErr w:type="spellEnd"/>
      <w:r w:rsidRPr="00C476FB">
        <w:rPr>
          <w:rFonts w:ascii="Times New Roman" w:hAnsi="Times New Roman" w:cs="Times New Roman"/>
        </w:rPr>
        <w:t xml:space="preserve"> </w:t>
      </w:r>
      <w:proofErr w:type="spellStart"/>
      <w:r w:rsidRPr="00C476FB">
        <w:rPr>
          <w:rFonts w:ascii="Times New Roman" w:hAnsi="Times New Roman" w:cs="Times New Roman"/>
        </w:rPr>
        <w:t>Covrigová</w:t>
      </w:r>
      <w:proofErr w:type="spellEnd"/>
      <w:r w:rsidRPr="00C476FB">
        <w:rPr>
          <w:rFonts w:ascii="Times New Roman" w:hAnsi="Times New Roman" w:cs="Times New Roman"/>
        </w:rPr>
        <w:t>, Integrační centrum</w:t>
      </w:r>
      <w:r w:rsidR="00A36DF6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Blanka Veselá,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C36FB6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 xml:space="preserve">Kateřina </w:t>
      </w:r>
      <w:proofErr w:type="spellStart"/>
      <w:r w:rsidRPr="00C476FB">
        <w:rPr>
          <w:rFonts w:ascii="Times New Roman" w:hAnsi="Times New Roman" w:cs="Times New Roman"/>
        </w:rPr>
        <w:t>Phamová</w:t>
      </w:r>
      <w:proofErr w:type="spellEnd"/>
      <w:r w:rsidRPr="00C476FB">
        <w:rPr>
          <w:rFonts w:ascii="Times New Roman" w:hAnsi="Times New Roman" w:cs="Times New Roman"/>
        </w:rPr>
        <w:t>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0442BE" w:rsidRPr="00C476FB" w:rsidRDefault="000442BE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Ondřej </w:t>
      </w:r>
      <w:proofErr w:type="spellStart"/>
      <w:r>
        <w:rPr>
          <w:rFonts w:ascii="Times New Roman" w:hAnsi="Times New Roman" w:cs="Times New Roman"/>
        </w:rPr>
        <w:t>Knybel</w:t>
      </w:r>
      <w:proofErr w:type="spellEnd"/>
      <w:r>
        <w:rPr>
          <w:rFonts w:ascii="Times New Roman" w:hAnsi="Times New Roman" w:cs="Times New Roman"/>
        </w:rPr>
        <w:t>, Integrační centrum Praha, o.p.s.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Tereza Třísková,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0442BE" w:rsidRPr="00C476FB" w:rsidRDefault="007F4D4D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Jonatan Schneider</w:t>
      </w:r>
      <w:r w:rsidR="00C36FB6" w:rsidRPr="00C476FB">
        <w:rPr>
          <w:rFonts w:ascii="Times New Roman" w:hAnsi="Times New Roman" w:cs="Times New Roman"/>
        </w:rPr>
        <w:t>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="00C36FB6" w:rsidRPr="00C476FB">
        <w:rPr>
          <w:rFonts w:ascii="Times New Roman" w:hAnsi="Times New Roman" w:cs="Times New Roman"/>
        </w:rPr>
        <w:t>, o. p. s.</w:t>
      </w:r>
    </w:p>
    <w:p w:rsidR="00C36FB6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Jana Hajná, MHMP</w:t>
      </w:r>
    </w:p>
    <w:p w:rsidR="000442BE" w:rsidRDefault="000442BE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Miroslava </w:t>
      </w:r>
      <w:proofErr w:type="spellStart"/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Štréblová</w:t>
      </w:r>
      <w:proofErr w:type="spellEnd"/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MHMP</w:t>
      </w:r>
    </w:p>
    <w:p w:rsidR="00686A62" w:rsidRDefault="00686A62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David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Lisztvan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PČR Praha</w:t>
      </w:r>
    </w:p>
    <w:p w:rsidR="00686A62" w:rsidRDefault="00686A62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Lygžima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Chaloupková – Společnost přátel Mongolska</w:t>
      </w:r>
    </w:p>
    <w:p w:rsidR="00686A62" w:rsidRDefault="00686A62" w:rsidP="00686A62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Martin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Kolafa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Libuš</w:t>
      </w:r>
    </w:p>
    <w:p w:rsidR="00686A62" w:rsidRDefault="00686A62" w:rsidP="00686A62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Taich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7</w:t>
      </w:r>
    </w:p>
    <w:p w:rsidR="00686A62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Barbora Machová, CIC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Martina Mrkvová, CIC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Lucie Sládková, IOM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E7ABC" w:rsidRDefault="001E7ABC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Marie Říhová, IOM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Pavel Bareš, VÚPSV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 Kubát, VÚPSV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Michal Kryl, Nová škola, o.p.s.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Verčimák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InBáze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Markéta Ručková, ÚMČ Praha 9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Dohnalová, AIP/Konsorcium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Michaela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Malčicová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5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František Bradáč, ÚMČ Praha14</w:t>
      </w:r>
    </w:p>
    <w:p w:rsidR="00C32FD6" w:rsidRDefault="00C32FD6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Kalinová, ÚMČ Praha 13</w:t>
      </w:r>
    </w:p>
    <w:p w:rsidR="00C32FD6" w:rsidRDefault="00623374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Iana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Khilai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týdeník „Pražský express“</w:t>
      </w:r>
    </w:p>
    <w:p w:rsidR="00623374" w:rsidRDefault="00623374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Michaela Kořenová, ÚMČ Praha 17</w:t>
      </w:r>
    </w:p>
    <w:p w:rsidR="00623374" w:rsidRDefault="00623374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Viktor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Tymko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PPI</w:t>
      </w:r>
    </w:p>
    <w:p w:rsidR="00623374" w:rsidRDefault="00623374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Jaroslava Tomanová, Tanec Praha</w:t>
      </w:r>
    </w:p>
    <w:p w:rsidR="00623374" w:rsidRDefault="00623374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Lukáš Radostný, META, o.p.s.</w:t>
      </w:r>
    </w:p>
    <w:p w:rsidR="00C32FD6" w:rsidRDefault="001E7ABC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Monika Korábová, PPI</w:t>
      </w:r>
    </w:p>
    <w:p w:rsidR="00916E35" w:rsidRDefault="00916E35" w:rsidP="00B37D72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E7ABC" w:rsidRDefault="001E7ABC" w:rsidP="00B37D72">
      <w:pPr>
        <w:spacing w:after="120"/>
        <w:rPr>
          <w:rFonts w:ascii="Times New Roman" w:hAnsi="Times New Roman"/>
          <w:sz w:val="24"/>
          <w:szCs w:val="24"/>
        </w:rPr>
      </w:pPr>
    </w:p>
    <w:p w:rsidR="00686A62" w:rsidRPr="00884E08" w:rsidRDefault="00686A62" w:rsidP="00B37D72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884E08">
        <w:rPr>
          <w:rFonts w:ascii="Times New Roman" w:hAnsi="Times New Roman"/>
          <w:b/>
          <w:sz w:val="24"/>
          <w:szCs w:val="24"/>
          <w:u w:val="single"/>
        </w:rPr>
        <w:t xml:space="preserve">Úvodní slovo – </w:t>
      </w:r>
      <w:proofErr w:type="spellStart"/>
      <w:r w:rsidRPr="00884E08">
        <w:rPr>
          <w:rFonts w:ascii="Times New Roman" w:hAnsi="Times New Roman"/>
          <w:b/>
          <w:sz w:val="24"/>
          <w:szCs w:val="24"/>
          <w:u w:val="single"/>
        </w:rPr>
        <w:t>Anca</w:t>
      </w:r>
      <w:proofErr w:type="spellEnd"/>
      <w:r w:rsidRPr="00884E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84E08">
        <w:rPr>
          <w:rFonts w:ascii="Times New Roman" w:hAnsi="Times New Roman"/>
          <w:b/>
          <w:sz w:val="24"/>
          <w:szCs w:val="24"/>
          <w:u w:val="single"/>
        </w:rPr>
        <w:t>Covrigová</w:t>
      </w:r>
      <w:proofErr w:type="spellEnd"/>
    </w:p>
    <w:p w:rsidR="00916E35" w:rsidRPr="00686A62" w:rsidRDefault="00916E35" w:rsidP="00686A62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 w:rsidRPr="00686A62">
        <w:rPr>
          <w:rFonts w:ascii="Times New Roman" w:hAnsi="Times New Roman"/>
          <w:sz w:val="24"/>
          <w:szCs w:val="24"/>
        </w:rPr>
        <w:t>Dnešní p</w:t>
      </w:r>
      <w:r w:rsidR="00884E08">
        <w:rPr>
          <w:rFonts w:ascii="Times New Roman" w:hAnsi="Times New Roman"/>
          <w:sz w:val="24"/>
          <w:szCs w:val="24"/>
        </w:rPr>
        <w:t xml:space="preserve">latforma je mimořádná, ještě </w:t>
      </w:r>
      <w:r w:rsidRPr="00686A62">
        <w:rPr>
          <w:rFonts w:ascii="Times New Roman" w:hAnsi="Times New Roman"/>
          <w:sz w:val="24"/>
          <w:szCs w:val="24"/>
        </w:rPr>
        <w:t>stihne</w:t>
      </w:r>
      <w:r w:rsidR="00884E08">
        <w:rPr>
          <w:rFonts w:ascii="Times New Roman" w:hAnsi="Times New Roman"/>
          <w:sz w:val="24"/>
          <w:szCs w:val="24"/>
        </w:rPr>
        <w:t>me realizovat Akční plán</w:t>
      </w:r>
      <w:r w:rsidRPr="00686A62">
        <w:rPr>
          <w:rFonts w:ascii="Times New Roman" w:hAnsi="Times New Roman"/>
          <w:sz w:val="24"/>
          <w:szCs w:val="24"/>
        </w:rPr>
        <w:t xml:space="preserve"> 2015</w:t>
      </w:r>
    </w:p>
    <w:p w:rsidR="00916E35" w:rsidRPr="00686A62" w:rsidRDefault="00916E35" w:rsidP="00686A62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 w:rsidRPr="00686A62">
        <w:rPr>
          <w:rFonts w:ascii="Times New Roman" w:hAnsi="Times New Roman"/>
          <w:sz w:val="24"/>
          <w:szCs w:val="24"/>
        </w:rPr>
        <w:t xml:space="preserve">Omluva za </w:t>
      </w:r>
      <w:r w:rsidR="00686A62">
        <w:rPr>
          <w:rFonts w:ascii="Times New Roman" w:hAnsi="Times New Roman"/>
          <w:sz w:val="24"/>
          <w:szCs w:val="24"/>
        </w:rPr>
        <w:t xml:space="preserve">pozdní poslání pracovní verze Akčního plánu </w:t>
      </w:r>
      <w:r w:rsidRPr="00686A62">
        <w:rPr>
          <w:rFonts w:ascii="Times New Roman" w:hAnsi="Times New Roman"/>
          <w:sz w:val="24"/>
          <w:szCs w:val="24"/>
        </w:rPr>
        <w:t>2016. 16.</w:t>
      </w:r>
      <w:r w:rsidR="00686A62">
        <w:rPr>
          <w:rFonts w:ascii="Times New Roman" w:hAnsi="Times New Roman"/>
          <w:sz w:val="24"/>
          <w:szCs w:val="24"/>
        </w:rPr>
        <w:t xml:space="preserve"> 12. by měla jít na MHMP.</w:t>
      </w:r>
    </w:p>
    <w:p w:rsidR="00916E35" w:rsidRPr="00686A62" w:rsidRDefault="00686A62" w:rsidP="00686A62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 podoba RPP</w:t>
      </w:r>
      <w:r w:rsidR="00916E35" w:rsidRPr="00686A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bude probíhat cca</w:t>
      </w:r>
      <w:r w:rsidR="00916E35" w:rsidRPr="00686A62">
        <w:rPr>
          <w:rFonts w:ascii="Times New Roman" w:hAnsi="Times New Roman"/>
          <w:sz w:val="24"/>
          <w:szCs w:val="24"/>
        </w:rPr>
        <w:t xml:space="preserve"> každý druhý měsíc. Další bude </w:t>
      </w:r>
      <w:r>
        <w:rPr>
          <w:rFonts w:ascii="Times New Roman" w:hAnsi="Times New Roman"/>
          <w:sz w:val="24"/>
          <w:szCs w:val="24"/>
        </w:rPr>
        <w:t xml:space="preserve">tedy </w:t>
      </w:r>
      <w:r w:rsidR="00916E35" w:rsidRPr="00686A62">
        <w:rPr>
          <w:rFonts w:ascii="Times New Roman" w:hAnsi="Times New Roman"/>
          <w:sz w:val="24"/>
          <w:szCs w:val="24"/>
        </w:rPr>
        <w:t>začátkem února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916E35" w:rsidRPr="00686A62">
        <w:rPr>
          <w:rFonts w:ascii="Times New Roman" w:hAnsi="Times New Roman"/>
          <w:sz w:val="24"/>
          <w:szCs w:val="24"/>
        </w:rPr>
        <w:t>. Téma</w:t>
      </w:r>
      <w:r>
        <w:rPr>
          <w:rFonts w:ascii="Times New Roman" w:hAnsi="Times New Roman"/>
          <w:sz w:val="24"/>
          <w:szCs w:val="24"/>
        </w:rPr>
        <w:t>tem bude</w:t>
      </w:r>
      <w:r w:rsidR="00916E35" w:rsidRPr="00686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916E35" w:rsidRPr="00686A62">
        <w:rPr>
          <w:rFonts w:ascii="Times New Roman" w:hAnsi="Times New Roman"/>
          <w:sz w:val="24"/>
          <w:szCs w:val="24"/>
        </w:rPr>
        <w:t>dobrovolnictví</w:t>
      </w:r>
      <w:r>
        <w:rPr>
          <w:rFonts w:ascii="Times New Roman" w:hAnsi="Times New Roman"/>
          <w:sz w:val="24"/>
          <w:szCs w:val="24"/>
        </w:rPr>
        <w:t>“.</w:t>
      </w:r>
    </w:p>
    <w:p w:rsidR="00916E35" w:rsidRDefault="00916E35" w:rsidP="00686A62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 w:rsidRPr="00686A62">
        <w:rPr>
          <w:rFonts w:ascii="Times New Roman" w:hAnsi="Times New Roman"/>
          <w:sz w:val="24"/>
          <w:szCs w:val="24"/>
        </w:rPr>
        <w:t>Během roku 2016 prá</w:t>
      </w:r>
      <w:r w:rsidR="00686A62">
        <w:rPr>
          <w:rFonts w:ascii="Times New Roman" w:hAnsi="Times New Roman"/>
          <w:sz w:val="24"/>
          <w:szCs w:val="24"/>
        </w:rPr>
        <w:t>ce</w:t>
      </w:r>
      <w:r w:rsidR="00884E08">
        <w:rPr>
          <w:rFonts w:ascii="Times New Roman" w:hAnsi="Times New Roman"/>
          <w:sz w:val="24"/>
          <w:szCs w:val="24"/>
        </w:rPr>
        <w:t xml:space="preserve"> na aktualizaci Koncepce integrace cizinců pro hl. m. Praha. </w:t>
      </w:r>
      <w:r w:rsidR="00686A62">
        <w:rPr>
          <w:rFonts w:ascii="Times New Roman" w:hAnsi="Times New Roman"/>
          <w:sz w:val="24"/>
          <w:szCs w:val="24"/>
        </w:rPr>
        <w:t>Kdyby měl někdo připomínky, nechť</w:t>
      </w:r>
      <w:r w:rsidRPr="00686A62">
        <w:rPr>
          <w:rFonts w:ascii="Times New Roman" w:hAnsi="Times New Roman"/>
          <w:sz w:val="24"/>
          <w:szCs w:val="24"/>
        </w:rPr>
        <w:t xml:space="preserve"> n</w:t>
      </w:r>
      <w:r w:rsidR="00686A62">
        <w:rPr>
          <w:rFonts w:ascii="Times New Roman" w:hAnsi="Times New Roman"/>
          <w:sz w:val="24"/>
          <w:szCs w:val="24"/>
        </w:rPr>
        <w:t>apíš</w:t>
      </w:r>
      <w:r w:rsidRPr="00686A62">
        <w:rPr>
          <w:rFonts w:ascii="Times New Roman" w:hAnsi="Times New Roman"/>
          <w:sz w:val="24"/>
          <w:szCs w:val="24"/>
        </w:rPr>
        <w:t>e email</w:t>
      </w:r>
      <w:r w:rsidR="00686A62">
        <w:rPr>
          <w:rFonts w:ascii="Times New Roman" w:hAnsi="Times New Roman"/>
          <w:sz w:val="24"/>
          <w:szCs w:val="24"/>
        </w:rPr>
        <w:t>.</w:t>
      </w:r>
    </w:p>
    <w:p w:rsidR="00686A62" w:rsidRDefault="00686A62" w:rsidP="00686A62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Předala informace od Heleny Dluhošové z OAMP:</w:t>
      </w:r>
    </w:p>
    <w:p w:rsidR="005B79E8" w:rsidRPr="00884E08" w:rsidRDefault="00686A62" w:rsidP="00884E08">
      <w:pPr>
        <w:pStyle w:val="Odstavecseseznamem"/>
        <w:numPr>
          <w:ilvl w:val="1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Byly vyhlášeny projekty obcí – uzávěrka 12. 2. 2016. </w:t>
      </w:r>
      <w:r w:rsidR="00CC1913">
        <w:rPr>
          <w:rFonts w:ascii="Times New Roman" w:hAnsi="Times New Roman"/>
          <w:sz w:val="24"/>
          <w:szCs w:val="24"/>
        </w:rPr>
        <w:t>Na toto téma proběhne 17. 12. v</w:t>
      </w:r>
      <w:r w:rsidR="005B79E8">
        <w:rPr>
          <w:rFonts w:ascii="Times New Roman" w:hAnsi="Times New Roman"/>
          <w:sz w:val="24"/>
          <w:szCs w:val="24"/>
        </w:rPr>
        <w:t xml:space="preserve"> 10: 00 v </w:t>
      </w:r>
      <w:r w:rsidR="00CC1913">
        <w:rPr>
          <w:rFonts w:ascii="Times New Roman" w:hAnsi="Times New Roman"/>
          <w:sz w:val="24"/>
          <w:szCs w:val="24"/>
        </w:rPr>
        <w:t>budově MVČR seminář</w:t>
      </w:r>
      <w:r w:rsidR="005B79E8">
        <w:rPr>
          <w:rFonts w:ascii="Times New Roman" w:hAnsi="Times New Roman"/>
          <w:sz w:val="24"/>
          <w:szCs w:val="24"/>
        </w:rPr>
        <w:t xml:space="preserve"> pro všechny zájemce, zejména městské části.</w:t>
      </w:r>
      <w:r w:rsidR="00884E08">
        <w:rPr>
          <w:rFonts w:ascii="Times New Roman" w:hAnsi="Times New Roman"/>
          <w:sz w:val="24"/>
          <w:szCs w:val="24"/>
        </w:rPr>
        <w:t xml:space="preserve"> </w:t>
      </w:r>
      <w:r w:rsidR="005B79E8" w:rsidRPr="00884E08">
        <w:rPr>
          <w:rFonts w:ascii="Times New Roman" w:hAnsi="Times New Roman"/>
          <w:sz w:val="24"/>
          <w:szCs w:val="24"/>
        </w:rPr>
        <w:t>Termíny pro neziskovky – konec prosince – začátek ledna</w:t>
      </w:r>
    </w:p>
    <w:p w:rsidR="00CC1913" w:rsidRPr="00686A62" w:rsidRDefault="00CC1913" w:rsidP="00686A62">
      <w:pPr>
        <w:pStyle w:val="Odstavecseseznamem"/>
        <w:numPr>
          <w:ilvl w:val="1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Byla aktualizována Koncepce integrace cizinců – prošla kolem připomínkování </w:t>
      </w:r>
      <w:r w:rsidR="005B79E8">
        <w:rPr>
          <w:rFonts w:ascii="Times New Roman" w:hAnsi="Times New Roman"/>
          <w:sz w:val="24"/>
          <w:szCs w:val="24"/>
        </w:rPr>
        <w:t>v mezirezortním řízení a 15. 12.</w:t>
      </w:r>
      <w:r>
        <w:rPr>
          <w:rFonts w:ascii="Times New Roman" w:hAnsi="Times New Roman"/>
          <w:sz w:val="24"/>
          <w:szCs w:val="24"/>
        </w:rPr>
        <w:t xml:space="preserve"> bude předložena Vládě ČR.</w:t>
      </w:r>
    </w:p>
    <w:p w:rsidR="00916E35" w:rsidRDefault="00916E35" w:rsidP="00B37D72">
      <w:pPr>
        <w:spacing w:after="120"/>
        <w:rPr>
          <w:rFonts w:ascii="Times New Roman" w:hAnsi="Times New Roman"/>
          <w:sz w:val="24"/>
          <w:szCs w:val="24"/>
        </w:rPr>
      </w:pPr>
    </w:p>
    <w:p w:rsidR="00A15C93" w:rsidRPr="00C476FB" w:rsidRDefault="00A15C93" w:rsidP="00B37D72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4E08" w:rsidRDefault="006346F6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I. blok – Akční plán 2015</w:t>
      </w:r>
      <w:r w:rsidR="00BB68A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– Eva Kalinová</w:t>
      </w:r>
    </w:p>
    <w:p w:rsidR="00884E08" w:rsidRPr="006B6006" w:rsidRDefault="005B79E8" w:rsidP="00884E08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Bod, který objevili při tvorbě Akčního plánu</w:t>
      </w:r>
      <w:r w:rsidR="00916E35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2016. Všimli si dílčí aktivity,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která byla nepřesně</w:t>
      </w:r>
      <w:r w:rsidR="00916E35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zformu</w:t>
      </w:r>
      <w:r w:rsidR="00884E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lovaná: „</w:t>
      </w:r>
      <w:r w:rsidR="00884E08" w:rsidRPr="00884E08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Zahájit diskuzi o vytvoření vzdělávacího kurzu pro zaměs</w:t>
      </w:r>
      <w:r w:rsidR="00884E08" w:rsidRPr="00884E08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t</w:t>
      </w:r>
      <w:r w:rsidR="00884E08" w:rsidRPr="00884E08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nance v sociálních a návazných službách o postavení cizinců ve vztahu k sociálním a návazným službám</w:t>
      </w:r>
      <w:r w:rsidR="00884E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.“</w:t>
      </w:r>
    </w:p>
    <w:p w:rsidR="00916E35" w:rsidRPr="0076522D" w:rsidRDefault="00916E35" w:rsidP="0076522D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to jedna z mála aktivit, které můžeme udělat</w:t>
      </w:r>
      <w:r w:rsidR="00884E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reálně v roce 2015 udělat, proto b</w:t>
      </w:r>
      <w:r w:rsidR="00884E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</w:t>
      </w:r>
      <w:r w:rsidR="00884E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chom měli diskuzi zahájit.</w:t>
      </w:r>
    </w:p>
    <w:p w:rsidR="006B6006" w:rsidRPr="001E7ABC" w:rsidRDefault="00916E35" w:rsidP="006B6006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Má někdo náměty? </w:t>
      </w:r>
      <w:r w:rsid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Ví o existujícím akreditovaném</w:t>
      </w:r>
      <w:r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kurz</w:t>
      </w:r>
      <w:r w:rsid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tohoto typu? Jedná se o standard</w:t>
      </w:r>
      <w:r w:rsid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ní</w:t>
      </w:r>
      <w:r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soc</w:t>
      </w:r>
      <w:r w:rsid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iální</w:t>
      </w:r>
      <w:r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služ</w:t>
      </w:r>
      <w:r w:rsidR="006B600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by.</w:t>
      </w:r>
    </w:p>
    <w:p w:rsidR="002668A5" w:rsidRDefault="005B79E8" w:rsidP="002668A5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Eva Dohnalová - </w:t>
      </w:r>
      <w:r w:rsidR="002668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 typy</w:t>
      </w:r>
      <w:r w:rsidR="005531E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</w:p>
    <w:p w:rsidR="005B79E8" w:rsidRPr="002668A5" w:rsidRDefault="005B79E8" w:rsidP="002668A5">
      <w:pPr>
        <w:pStyle w:val="Odstavecseseznamem"/>
        <w:numPr>
          <w:ilvl w:val="1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InB</w:t>
      </w:r>
      <w:r w:rsidR="006333D1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ázi</w:t>
      </w:r>
      <w:proofErr w:type="spellEnd"/>
      <w:r w:rsidR="006333D1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si udělali akreditaci na 32h kurzu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6333D1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zahrnující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</w:t>
      </w:r>
      <w:r w:rsidR="006333D1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oblast pobytu, azylu a interkulturní kompetence. Nositelem je </w:t>
      </w:r>
      <w:proofErr w:type="spellStart"/>
      <w:r w:rsidR="006333D1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Charitas</w:t>
      </w:r>
      <w:proofErr w:type="spellEnd"/>
      <w:r w:rsidR="006333D1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2668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VOŠ </w:t>
      </w:r>
      <w:r w:rsidR="006333D1" w:rsidRPr="007652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Olomouc.</w:t>
      </w:r>
    </w:p>
    <w:p w:rsidR="006333D1" w:rsidRPr="005B79E8" w:rsidRDefault="002668A5" w:rsidP="002668A5">
      <w:pPr>
        <w:pStyle w:val="Odstavecseseznamem"/>
        <w:numPr>
          <w:ilvl w:val="1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konsorcia </w:t>
      </w:r>
      <w:r w:rsidR="006333D1" w:rsidRP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 rádi dělali disk</w:t>
      </w:r>
      <w:r w:rsid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uzní</w:t>
      </w:r>
      <w:r w:rsidR="006333D1" w:rsidRP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setkání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zástupci </w:t>
      </w:r>
      <w:r w:rsidR="006333D1" w:rsidRP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samospráv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kde by byli i pracovníci v sociálních službách</w:t>
      </w:r>
      <w:r w:rsidR="006333D1" w:rsidRP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řešil by se přístup 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migraci, migrační politice. N</w:t>
      </w:r>
      <w:r w:rsidR="006333D1" w:rsidRP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ebylo by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ale </w:t>
      </w:r>
      <w:r w:rsidR="006333D1" w:rsidRP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akreditované, spíše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by šlo o </w:t>
      </w:r>
      <w:r w:rsidR="006333D1" w:rsidRPr="005B7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workshopy.</w:t>
      </w:r>
    </w:p>
    <w:p w:rsidR="00916E35" w:rsidRPr="002B7C47" w:rsidRDefault="00916E35" w:rsidP="002B7C47">
      <w:pPr>
        <w:pStyle w:val="Odstavecseseznamem"/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333D1" w:rsidRPr="002B7C47" w:rsidRDefault="006333D1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2B7C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Eva </w:t>
      </w:r>
      <w:r w:rsidR="0020196C" w:rsidRPr="002B7C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Kalinová </w:t>
      </w:r>
      <w:r w:rsidRPr="002B7C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– podněty</w:t>
      </w:r>
      <w:r w:rsidR="0020196C" w:rsidRPr="002B7C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v rámci pracovní skupiny Přístup migrantů k sociálním a návazným službám:</w:t>
      </w:r>
    </w:p>
    <w:p w:rsidR="002B7C47" w:rsidRDefault="0020196C" w:rsidP="002D3F7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Poděkování Františku Bradáčovi, Evě Čech-Valentové, Miroslavě </w:t>
      </w:r>
      <w:proofErr w:type="spellStart"/>
      <w:r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Štréblové</w:t>
      </w:r>
      <w:proofErr w:type="spellEnd"/>
      <w:r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Pavle </w:t>
      </w:r>
      <w:proofErr w:type="spellStart"/>
      <w:r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Jenkové</w:t>
      </w:r>
      <w:proofErr w:type="spellEnd"/>
      <w:r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6333D1" w:rsidRPr="002B7C47" w:rsidRDefault="0020196C" w:rsidP="002D3F7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Společně </w:t>
      </w:r>
      <w:r w:rsidR="006333D1"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došli k pár bodům, které chce sdělit</w:t>
      </w:r>
      <w:r w:rsidR="00013497" w:rsidRPr="002B7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</w:p>
    <w:p w:rsidR="006333D1" w:rsidRDefault="006333D1" w:rsidP="00CA5C2B">
      <w:pPr>
        <w:suppressAutoHyphens w:val="0"/>
        <w:autoSpaceDN/>
        <w:spacing w:after="120"/>
        <w:ind w:left="7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 bylo by dobré na každém zasedání RPP zmínit průběžné ho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nocení 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kčního plánu. Např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íklad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červnu zpracovat průběžnou zprávu a 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platformě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ji 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pak prezentovat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6333D1" w:rsidRDefault="006333D1" w:rsidP="00CA5C2B">
      <w:pPr>
        <w:suppressAutoHyphens w:val="0"/>
        <w:autoSpaceDN/>
        <w:spacing w:after="120"/>
        <w:ind w:left="708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oporučení začít s přípravou 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Akčního plánu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už od června 2016, aby bylo možné zohlednit plánované aktivity do návrhu rozpočtu MHMP pro rok 2017.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Teď 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už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plno věcí 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 rok 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nešlo uplatnit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6333D1" w:rsidRDefault="006333D1" w:rsidP="00CA5C2B">
      <w:pPr>
        <w:suppressAutoHyphens w:val="0"/>
        <w:autoSpaceDN/>
        <w:spacing w:after="120"/>
        <w:ind w:left="708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0134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 během zasedání RPP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doporučovat nezisko</w:t>
      </w:r>
      <w:r w:rsidR="00EE3F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vým organizacím, aby při žádostech o d</w:t>
      </w:r>
      <w:r w:rsidR="00EE3F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="00EE3F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tace postupovaly 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dle uvedených opatření v Akčním plánu a v</w:t>
      </w:r>
      <w:r w:rsidR="00EE3F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 těchto 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žádostech se o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kazova</w:t>
      </w:r>
      <w:r w:rsidR="00EE3F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ly</w:t>
      </w:r>
      <w:r w:rsidR="00433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konkrétní opatření Akčního plánu. Může to zvýšit kvalitu projektu.</w:t>
      </w:r>
    </w:p>
    <w:p w:rsidR="006333D1" w:rsidRDefault="00433186" w:rsidP="00CA5C2B">
      <w:pPr>
        <w:suppressAutoHyphens w:val="0"/>
        <w:autoSpaceDN/>
        <w:spacing w:after="120"/>
        <w:ind w:left="708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4) Systematický monitoring dotační podpory městských částí pro oblast integrace c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zinců ze strany MHMP nebo ICP. Kolik prostředků udělali za daný rok a pro kolik projektů.</w:t>
      </w:r>
    </w:p>
    <w:p w:rsidR="006333D1" w:rsidRDefault="00433186" w:rsidP="00CA5C2B">
      <w:pPr>
        <w:suppressAutoHyphens w:val="0"/>
        <w:autoSpaceDN/>
        <w:spacing w:after="120"/>
        <w:ind w:left="708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5) zajistit politickou podporu pro oblast integrace cizinců, konkrétně vý</w:t>
      </w:r>
      <w:r w:rsidR="006333D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bor pro int</w:t>
      </w:r>
      <w:r w:rsidR="006333D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="006333D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graci cizinců</w:t>
      </w:r>
    </w:p>
    <w:p w:rsidR="006333D1" w:rsidRDefault="006333D1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E7ABC" w:rsidRDefault="001E7ABC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</w:p>
    <w:p w:rsidR="006333D1" w:rsidRPr="00BB68AF" w:rsidRDefault="00884E08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BB68A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Bod č. 2 - Připomínky k Akčnímu plánu 2016</w:t>
      </w:r>
      <w:r w:rsidR="00BB68AF" w:rsidRPr="00BB68A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– </w:t>
      </w:r>
      <w:proofErr w:type="spellStart"/>
      <w:r w:rsidR="00BB68AF" w:rsidRPr="00BB68A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Anca</w:t>
      </w:r>
      <w:proofErr w:type="spellEnd"/>
      <w:r w:rsidR="00BB68AF" w:rsidRPr="00BB68A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B68AF" w:rsidRPr="00BB68A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Covrigová</w:t>
      </w:r>
      <w:proofErr w:type="spellEnd"/>
    </w:p>
    <w:p w:rsidR="00090D86" w:rsidRPr="00BB68AF" w:rsidRDefault="00BB68AF" w:rsidP="00BB68AF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Martin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Kolafa</w:t>
      </w:r>
      <w:proofErr w:type="spellEnd"/>
      <w:r w:rsidR="00090D86" w:rsidRPr="00BB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 k aktivitě „</w:t>
      </w:r>
      <w:r w:rsidR="00090D86" w:rsidRPr="00BB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asistent pedagoga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 -</w:t>
      </w:r>
      <w:r w:rsidR="00090D86" w:rsidRPr="00BB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počítá se s primární přípravou asistentů pedagoga? Přijde mu</w:t>
      </w:r>
      <w:r w:rsidR="00FD26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090D86" w:rsidRPr="00BB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že obecně chybí akr</w:t>
      </w:r>
      <w:r w:rsidR="00FD26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editovaný</w:t>
      </w:r>
      <w:r w:rsidR="00090D86" w:rsidRPr="00BB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kurz pro jejich přípravu pro asis</w:t>
      </w:r>
      <w:r w:rsid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tenty pro děti s OMJ</w:t>
      </w:r>
      <w:r w:rsidR="006233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Dříve to dělala META</w:t>
      </w:r>
      <w:r w:rsidR="00090D86" w:rsidRPr="00BB68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nyní nic takového není.</w:t>
      </w:r>
    </w:p>
    <w:p w:rsidR="00090D86" w:rsidRPr="00764965" w:rsidRDefault="00764965" w:rsidP="00826097">
      <w:pPr>
        <w:pStyle w:val="Odstavecseseznamem"/>
        <w:numPr>
          <w:ilvl w:val="1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Lukáš Radostný → M</w:t>
      </w:r>
      <w:r w:rsidR="006233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ETA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233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stále 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pořád</w:t>
      </w:r>
      <w:r w:rsidR="006233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tento kurz. Ale je zde otázka finan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vání. Do Akčního plánu jsme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nedávali konkrétní služby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tohoto typu, protože podle nás nepřísluší sem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dá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vat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vlastní seminář. Je to ale něco nového, co b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chom</w:t>
      </w:r>
      <w:r w:rsidR="00090D86"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rádi podpořili. </w:t>
      </w:r>
      <w:r w:rsidR="00CA5C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Městské části by mohli zažádat o něco takového například v rámci projektů obcí.</w:t>
      </w:r>
    </w:p>
    <w:p w:rsidR="00F3445A" w:rsidRPr="00C32FD6" w:rsidRDefault="00090D86" w:rsidP="00F3445A">
      <w:pPr>
        <w:pStyle w:val="Odstavecseseznamem"/>
        <w:numPr>
          <w:ilvl w:val="1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Kol</w:t>
      </w:r>
      <w:r w:rsid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afa</w:t>
      </w:r>
      <w:proofErr w:type="spellEnd"/>
      <w:r w:rsidRPr="007649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stane se absolvent kvalifikovaným asistentem?</w:t>
      </w:r>
    </w:p>
    <w:p w:rsidR="00F3445A" w:rsidRDefault="00C32FD6" w:rsidP="00826097">
      <w:pPr>
        <w:pStyle w:val="Odstavecseseznamem"/>
        <w:numPr>
          <w:ilvl w:val="1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Lukáš Radostný → e</w:t>
      </w:r>
      <w:r w:rsidR="00CA5C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xistují kurzy </w:t>
      </w:r>
      <w:r w:rsidR="006233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od </w:t>
      </w:r>
      <w:proofErr w:type="gramStart"/>
      <w:r w:rsidR="006233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META</w:t>
      </w:r>
      <w:proofErr w:type="gramEnd"/>
      <w:r w:rsid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A5C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 vzdělávání asistentů pedag</w:t>
      </w:r>
      <w:r w:rsidR="00CA5C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="00CA5C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gů i pro již </w:t>
      </w:r>
      <w:r w:rsid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vzdělané asistenty na dovednosti s cílovou skupinou. Nejsou ale součástí Akčního plánu.</w:t>
      </w:r>
    </w:p>
    <w:p w:rsidR="00F3445A" w:rsidRDefault="00F3445A" w:rsidP="002D3F7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Martin </w:t>
      </w:r>
      <w:proofErr w:type="spellStart"/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olafa</w:t>
      </w:r>
      <w:proofErr w:type="spellEnd"/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</w:t>
      </w: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 na aktivitu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posílení spolupráce s</w:t>
      </w: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ped</w:t>
      </w: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agogicko-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psych</w:t>
      </w: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ologickými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poradnami</w:t>
      </w: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jak to bude probíhat? A jak budou zapoje</w:t>
      </w:r>
      <w:r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ny městské části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?</w:t>
      </w:r>
    </w:p>
    <w:p w:rsidR="00621E3F" w:rsidRPr="00F3445A" w:rsidRDefault="00F3445A" w:rsidP="00C87916">
      <w:pPr>
        <w:pStyle w:val="Odstavecseseznamem"/>
        <w:numPr>
          <w:ilvl w:val="1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Lukáš Radostný → Spolupráce bude spočívat ve 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vytvoření platfor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my sdružuj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cí zástupce odborů</w:t>
      </w:r>
      <w:r w:rsidR="00621E3F" w:rsidRPr="00F344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škol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ství z městských částí. B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dou zváni i zástupci poraden, aby se k nim dostávaly informace ze škol, aby věděli, co školy řeší. Je třeba 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to poradny podpořit – jsou tu například komunitní tlumočníci nebo interkultu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ní pracovníci.</w:t>
      </w:r>
    </w:p>
    <w:p w:rsidR="003B3B9B" w:rsidRDefault="003B3B9B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87916" w:rsidRPr="00C87916" w:rsidRDefault="00D94891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proofErr w:type="spellStart"/>
      <w:r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Anca</w:t>
      </w:r>
      <w:proofErr w:type="spellEnd"/>
      <w:r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76522D"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Covrigová</w:t>
      </w:r>
      <w:proofErr w:type="spellEnd"/>
      <w:r w:rsidR="0076522D"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vyzvala vedoucí prac</w:t>
      </w:r>
      <w:r w:rsidR="0076522D"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ovních</w:t>
      </w:r>
      <w:r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skupin</w:t>
      </w:r>
      <w:r w:rsidR="0076522D"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,</w:t>
      </w:r>
      <w:r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aby </w:t>
      </w:r>
      <w:r w:rsidR="0076522D" w:rsidRPr="00C87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přítomným představili změny v Akčním plánu 2016.</w:t>
      </w:r>
    </w:p>
    <w:p w:rsidR="00D94891" w:rsidRDefault="00C87916" w:rsidP="00C87916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Lukáš Radostný</w:t>
      </w:r>
      <w:r w:rsidR="00D94891" w:rsidRPr="00C879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představil</w:t>
      </w:r>
      <w:r w:rsidR="00D94891" w:rsidRPr="00C879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část vzdělávání a úpravy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či změny</w:t>
      </w:r>
      <w:r w:rsidR="00D96D6B" w:rsidRPr="00C879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dílčích aktivitách</w:t>
      </w:r>
      <w:r w:rsidR="00D94891" w:rsidRPr="00C879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oproti ro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ku 2015.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2601EA" w:rsidRDefault="00A74EEF" w:rsidP="002D3F7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K</w:t>
      </w:r>
      <w:r w:rsidR="00013497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alinová 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představila část </w:t>
      </w:r>
      <w:r w:rsidR="00013497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přístup migrantů k soc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iálním</w:t>
      </w:r>
      <w:r w:rsidR="00013497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službám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úpravy či zm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ě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ny oproti roku 2015.</w:t>
      </w:r>
    </w:p>
    <w:p w:rsidR="00A74EEF" w:rsidRDefault="00C32FD6" w:rsidP="00A74EEF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Michal</w:t>
      </w:r>
      <w:r w:rsidR="009E26CF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33E56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Kryl </w:t>
      </w:r>
      <w:r w:rsidR="009E26CF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reagoval</w:t>
      </w:r>
      <w:r w:rsidR="00F33E56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průřezové téma dobrovolnictví, které zmiňoval </w:t>
      </w:r>
      <w:r w:rsid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Lukáš R</w:t>
      </w:r>
      <w:r w:rsidR="00F33E56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F33E56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dostný – </w:t>
      </w:r>
      <w:r w:rsid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souhlasí, aby se objevilo jako téma průřezové. V</w:t>
      </w:r>
      <w:r w:rsidR="00F33E56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 jedné službě </w:t>
      </w:r>
      <w:r w:rsid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(vzdělávání nebo sociální služby) </w:t>
      </w:r>
      <w:r w:rsidR="00F33E56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to</w:t>
      </w:r>
      <w:r w:rsid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to téma</w:t>
      </w:r>
      <w:r w:rsidR="00F33E56" w:rsidRP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smrskne. </w:t>
      </w:r>
    </w:p>
    <w:p w:rsidR="00F33E56" w:rsidRPr="00A74EEF" w:rsidRDefault="00A74EEF" w:rsidP="00A74EEF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Pavel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Bareš dodal, že se to netýká jen tématu dobrovolnictví, ale 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 vzděl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ávacích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gramů pro úřední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ky nebo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zaměstnance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jiných služeb 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mimo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těch, co pracují s 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migr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anty</w:t>
      </w:r>
      <w:r w:rsidR="00F33E56" w:rsidRPr="00A74E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:rsidR="00E829DE" w:rsidRDefault="0008544A" w:rsidP="00E829DE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Marie Říhová představila</w:t>
      </w:r>
      <w:r w:rsidR="00F33E56" w:rsidRPr="000854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část Informovanost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na které</w:t>
      </w:r>
      <w:r w:rsidR="00F33E56" w:rsidRPr="000854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spolupracovala Janem Kub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tem</w:t>
      </w:r>
      <w:r w:rsidR="00F33E56" w:rsidRPr="000854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Tomášem </w:t>
      </w:r>
      <w:proofErr w:type="spellStart"/>
      <w:r w:rsidR="009E26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Verčimákem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F33E56" w:rsidRPr="000854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1E7ABC" w:rsidRDefault="001E7ABC" w:rsidP="001E7ABC">
      <w:pPr>
        <w:pStyle w:val="Odstavecseseznamem"/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829DE" w:rsidRPr="00E829DE" w:rsidRDefault="00E829DE" w:rsidP="00E829DE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Covrigová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doplnila poznámku ohledně Platformy migrantů – poprosila členy 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 pracovní skupiny o podněty k této platformě. Například možnost návaznosti této platformy na RPP s tím, že migranti by byli přizváni na všechny jednání. Předběžně to plánuje na duben 2016. Cílem je motivovat reprezentanty migrantských skupin, aby se více zapojili. </w:t>
      </w:r>
    </w:p>
    <w:p w:rsidR="00820BCF" w:rsidRDefault="003B3B9B" w:rsidP="00E829DE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Dotaz </w:t>
      </w:r>
      <w:r w:rsidR="00E829DE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překlad webového portálu - </w:t>
      </w:r>
      <w:r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="00E829DE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Akčním plánu jsou</w:t>
      </w:r>
      <w:r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829DE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zmíněny 4 jazyky -</w:t>
      </w:r>
      <w:r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zdá se jí to ambici</w:t>
      </w:r>
      <w:r w:rsidR="00E829DE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ó</w:t>
      </w:r>
      <w:r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zní. Napsa</w:t>
      </w:r>
      <w:r w:rsidR="00E829DE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 by tam raději obecně cizí jazyky, protože 4</w:t>
      </w:r>
      <w:r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dost. </w:t>
      </w:r>
      <w:r w:rsidR="00E829DE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Marie </w:t>
      </w:r>
      <w:r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Říhová </w:t>
      </w:r>
      <w:r w:rsidR="00E829DE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upřesnila, že jde o anglický, vietnamský, ruský a ukrajinský </w:t>
      </w:r>
      <w:r w:rsid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jazyk.</w:t>
      </w:r>
    </w:p>
    <w:p w:rsidR="00820BCF" w:rsidRPr="001E7870" w:rsidRDefault="00E829DE" w:rsidP="00820BCF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E78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Viktor </w:t>
      </w:r>
      <w:proofErr w:type="spellStart"/>
      <w:r w:rsidRPr="001E78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Tymko</w:t>
      </w:r>
      <w:proofErr w:type="spellEnd"/>
      <w:r w:rsidRPr="001E78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podotknul, že </w:t>
      </w:r>
      <w:r w:rsidR="0048252E" w:rsidRPr="001E78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ukrajinská jazyková mutace není nutná.</w:t>
      </w:r>
    </w:p>
    <w:p w:rsidR="008360C3" w:rsidRPr="00C32FD6" w:rsidRDefault="00820BCF" w:rsidP="008360C3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Jana </w:t>
      </w:r>
      <w:r w:rsidR="00FF467F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Hajná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dodala, že je lepší </w:t>
      </w:r>
      <w:r w:rsidR="00FF467F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dát obecnější text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např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klad </w:t>
      </w:r>
      <w:r w:rsidR="00FF467F" w:rsidRPr="00820B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poznámku pod čarou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CD6051" w:rsidRPr="00CD6051" w:rsidRDefault="00FF467F" w:rsidP="00CD605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836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Anca</w:t>
      </w:r>
      <w:proofErr w:type="spellEnd"/>
      <w:r w:rsidRPr="00836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36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Covrigová</w:t>
      </w:r>
      <w:proofErr w:type="spellEnd"/>
      <w:r w:rsidR="00836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shrnula část analýzy, která v Akčním plánu zůstane</w:t>
      </w:r>
      <w:r w:rsidRPr="00836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FF467F" w:rsidRPr="00CD6051" w:rsidRDefault="00892A1E" w:rsidP="00CD605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Hajná shrnula část financování. Je zde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hodně aktivit v oblasti gr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antového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řízení. V obl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asti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projektového financování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došlo ke změnám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návrh rozpočtu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 mil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korun na správu webu.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Dále 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600 000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Kč 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workshopy, semin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r w:rsidR="00FF467F" w:rsidRPr="00CD60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ře.</w:t>
      </w:r>
    </w:p>
    <w:p w:rsidR="007B6333" w:rsidRDefault="00892A1E" w:rsidP="00892A1E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Monika 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Korábová </w:t>
      </w:r>
      <w:r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vznesla 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 na Analýzu – částka byla schválena, byl</w:t>
      </w:r>
      <w:r w:rsidR="007B63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už v letošním roce zahájen</w:t>
      </w:r>
      <w:r w:rsidR="007B63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tendr</w:t>
      </w:r>
      <w:r w:rsidR="007B63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ové řízení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? </w:t>
      </w:r>
    </w:p>
    <w:p w:rsidR="00FF467F" w:rsidRPr="00892A1E" w:rsidRDefault="007B6333" w:rsidP="00C32FD6">
      <w:pPr>
        <w:pStyle w:val="Odstavecseseznamem"/>
        <w:numPr>
          <w:ilvl w:val="1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Jana 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</w:t>
      </w:r>
      <w:r w:rsidR="00C32F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ajná →</w:t>
      </w:r>
      <w:r w:rsidR="00A82D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tento proces byl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brzděn, nyní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čeká na vyhlášení veřejné z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kázky. Další admin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istrativu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má na starosti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Miroslava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Štréblová</w:t>
      </w:r>
      <w:proofErr w:type="spellEnd"/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Do konce roku 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vyhlášení</w:t>
      </w:r>
      <w:r w:rsidR="00FF467F" w:rsidRPr="00892A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nereálné.</w:t>
      </w:r>
    </w:p>
    <w:p w:rsidR="00FF467F" w:rsidRDefault="00FF467F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F5DCA" w:rsidRPr="00C476FB" w:rsidRDefault="008F5DCA" w:rsidP="00E21CAC">
      <w:pPr>
        <w:rPr>
          <w:rFonts w:ascii="Times New Roman" w:hAnsi="Times New Roman"/>
          <w:sz w:val="24"/>
          <w:szCs w:val="24"/>
        </w:rPr>
      </w:pPr>
    </w:p>
    <w:sectPr w:rsidR="008F5DCA" w:rsidRPr="00C476FB" w:rsidSect="0050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FA" w:rsidRDefault="003F69FA">
      <w:pPr>
        <w:spacing w:after="0" w:line="240" w:lineRule="auto"/>
      </w:pPr>
      <w:r>
        <w:separator/>
      </w:r>
    </w:p>
  </w:endnote>
  <w:endnote w:type="continuationSeparator" w:id="0">
    <w:p w:rsidR="003F69FA" w:rsidRDefault="003F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CA" w:rsidRDefault="00502A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C32FD6">
    <w:pPr>
      <w:spacing w:after="0" w:line="240" w:lineRule="auto"/>
      <w:textAlignment w:val="auto"/>
    </w:pPr>
  </w:p>
  <w:p w:rsidR="00502ACA" w:rsidRDefault="00C32FD6" w:rsidP="00502ACA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  <w:bookmarkStart w:id="0" w:name="_GoBack"/>
    <w:bookmarkEnd w:id="0"/>
    <w:r w:rsidR="00502ACA">
      <w:rPr>
        <w:rFonts w:cs="Calibri"/>
        <w:b/>
        <w:bCs/>
        <w:sz w:val="14"/>
        <w:szCs w:val="14"/>
        <w:lang w:eastAsia="ar-SA"/>
      </w:rPr>
      <w:t xml:space="preserve">               </w:t>
    </w:r>
  </w:p>
  <w:p w:rsidR="00C32FD6" w:rsidRPr="00502ACA" w:rsidRDefault="00502ACA" w:rsidP="00502ACA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noProof/>
        <w:lang w:eastAsia="cs-CZ"/>
      </w:rPr>
      <w:drawing>
        <wp:anchor distT="0" distB="0" distL="114300" distR="114300" simplePos="0" relativeHeight="251665408" behindDoc="0" locked="0" layoutInCell="1" allowOverlap="1" wp14:anchorId="7F670FFC" wp14:editId="2FDD3B8C">
          <wp:simplePos x="0" y="0"/>
          <wp:positionH relativeFrom="column">
            <wp:posOffset>4411345</wp:posOffset>
          </wp:positionH>
          <wp:positionV relativeFrom="paragraph">
            <wp:posOffset>74930</wp:posOffset>
          </wp:positionV>
          <wp:extent cx="1179830" cy="327025"/>
          <wp:effectExtent l="0" t="0" r="1270" b="0"/>
          <wp:wrapTight wrapText="bothSides">
            <wp:wrapPolygon edited="0">
              <wp:start x="0" y="0"/>
              <wp:lineTo x="0" y="20132"/>
              <wp:lineTo x="21274" y="20132"/>
              <wp:lineTo x="21274" y="0"/>
              <wp:lineTo x="0" y="0"/>
            </wp:wrapPolygon>
          </wp:wrapTight>
          <wp:docPr id="6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0" cy="327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548E5">
      <w:rPr>
        <w:rFonts w:cs="Arial"/>
        <w:noProof/>
        <w:sz w:val="24"/>
        <w:szCs w:val="24"/>
        <w:lang w:eastAsia="cs-CZ"/>
      </w:rPr>
      <w:t xml:space="preserve"> </w:t>
    </w: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55422D38" wp14:editId="66CDA27F">
          <wp:extent cx="3687918" cy="676275"/>
          <wp:effectExtent l="0" t="0" r="825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331" cy="68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bCs/>
        <w:sz w:val="14"/>
        <w:szCs w:val="14"/>
        <w:lang w:eastAsia="ar-SA"/>
      </w:rPr>
      <w:t xml:space="preserve">   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  <w:r w:rsidR="00C32FD6">
      <w:rPr>
        <w:rFonts w:cs="Calibri"/>
        <w:b/>
        <w:bCs/>
        <w:sz w:val="12"/>
        <w:szCs w:val="12"/>
        <w:lang w:eastAsia="ar-S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CA" w:rsidRDefault="00502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FA" w:rsidRDefault="003F69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69FA" w:rsidRDefault="003F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CA" w:rsidRDefault="00502A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C32FD6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63360" behindDoc="0" locked="0" layoutInCell="1" allowOverlap="1" wp14:anchorId="782DB905" wp14:editId="0D1FDCAC">
          <wp:simplePos x="0" y="0"/>
          <wp:positionH relativeFrom="column">
            <wp:posOffset>5479413</wp:posOffset>
          </wp:positionH>
          <wp:positionV relativeFrom="paragraph">
            <wp:posOffset>-23490</wp:posOffset>
          </wp:positionV>
          <wp:extent cx="962021" cy="453386"/>
          <wp:effectExtent l="0" t="0" r="0" b="3814"/>
          <wp:wrapTight wrapText="bothSides">
            <wp:wrapPolygon edited="0">
              <wp:start x="0" y="0"/>
              <wp:lineTo x="0" y="20874"/>
              <wp:lineTo x="20959" y="20874"/>
              <wp:lineTo x="20959" y="0"/>
              <wp:lineTo x="0" y="0"/>
            </wp:wrapPolygon>
          </wp:wrapTight>
          <wp:docPr id="1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1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cs-CZ"/>
      </w:rPr>
      <w:drawing>
        <wp:anchor distT="0" distB="0" distL="114300" distR="114300" simplePos="0" relativeHeight="251662336" behindDoc="0" locked="0" layoutInCell="1" allowOverlap="1" wp14:anchorId="1A615CAC" wp14:editId="242CF014">
          <wp:simplePos x="0" y="0"/>
          <wp:positionH relativeFrom="column">
            <wp:posOffset>4415152</wp:posOffset>
          </wp:positionH>
          <wp:positionV relativeFrom="paragraph">
            <wp:posOffset>-12701</wp:posOffset>
          </wp:positionV>
          <wp:extent cx="829305" cy="484503"/>
          <wp:effectExtent l="0" t="0" r="8895" b="0"/>
          <wp:wrapTight wrapText="bothSides">
            <wp:wrapPolygon edited="0">
              <wp:start x="0" y="0"/>
              <wp:lineTo x="0" y="20383"/>
              <wp:lineTo x="21336" y="20383"/>
              <wp:lineTo x="21336" y="0"/>
              <wp:lineTo x="0" y="0"/>
            </wp:wrapPolygon>
          </wp:wrapTight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305" cy="48450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32FD6" w:rsidRDefault="00C32FD6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2EE94" wp14:editId="6A879042">
          <wp:simplePos x="0" y="0"/>
          <wp:positionH relativeFrom="column">
            <wp:posOffset>-71122</wp:posOffset>
          </wp:positionH>
          <wp:positionV relativeFrom="paragraph">
            <wp:posOffset>-413381</wp:posOffset>
          </wp:positionV>
          <wp:extent cx="1770378" cy="836291"/>
          <wp:effectExtent l="0" t="0" r="1272" b="1909"/>
          <wp:wrapTight wrapText="bothSides">
            <wp:wrapPolygon edited="0">
              <wp:start x="0" y="0"/>
              <wp:lineTo x="0" y="21157"/>
              <wp:lineTo x="21383" y="21157"/>
              <wp:lineTo x="21383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378" cy="83629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6DB634C7" wp14:editId="0213995A">
          <wp:simplePos x="0" y="0"/>
          <wp:positionH relativeFrom="column">
            <wp:posOffset>2624456</wp:posOffset>
          </wp:positionH>
          <wp:positionV relativeFrom="paragraph">
            <wp:posOffset>-159389</wp:posOffset>
          </wp:positionV>
          <wp:extent cx="903600" cy="460372"/>
          <wp:effectExtent l="0" t="0" r="0" b="0"/>
          <wp:wrapTight wrapText="bothSides">
            <wp:wrapPolygon edited="0">
              <wp:start x="0" y="0"/>
              <wp:lineTo x="0" y="20557"/>
              <wp:lineTo x="20947" y="20557"/>
              <wp:lineTo x="20947" y="0"/>
              <wp:lineTo x="0" y="0"/>
            </wp:wrapPolygon>
          </wp:wrapTight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600" cy="4603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4EECA44" wp14:editId="17D271DE">
          <wp:simplePos x="0" y="0"/>
          <wp:positionH relativeFrom="column">
            <wp:posOffset>3738881</wp:posOffset>
          </wp:positionH>
          <wp:positionV relativeFrom="paragraph">
            <wp:posOffset>-163833</wp:posOffset>
          </wp:positionV>
          <wp:extent cx="518793" cy="482602"/>
          <wp:effectExtent l="0" t="0" r="0" b="0"/>
          <wp:wrapTight wrapText="bothSides">
            <wp:wrapPolygon edited="0">
              <wp:start x="0" y="0"/>
              <wp:lineTo x="0" y="20463"/>
              <wp:lineTo x="20622" y="20463"/>
              <wp:lineTo x="20622" y="0"/>
              <wp:lineTo x="0" y="0"/>
            </wp:wrapPolygon>
          </wp:wrapTight>
          <wp:docPr id="5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793" cy="4826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32FD6" w:rsidRDefault="00C32F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CA" w:rsidRDefault="00502A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98"/>
    <w:multiLevelType w:val="hybridMultilevel"/>
    <w:tmpl w:val="6AA0F9EC"/>
    <w:lvl w:ilvl="0" w:tplc="A24A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59"/>
    <w:multiLevelType w:val="multilevel"/>
    <w:tmpl w:val="ED125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386039"/>
    <w:multiLevelType w:val="multilevel"/>
    <w:tmpl w:val="678276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CD3BEA"/>
    <w:multiLevelType w:val="multilevel"/>
    <w:tmpl w:val="7EDC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41FE"/>
    <w:multiLevelType w:val="multilevel"/>
    <w:tmpl w:val="C1EAD24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31E"/>
    <w:multiLevelType w:val="hybridMultilevel"/>
    <w:tmpl w:val="FE408F96"/>
    <w:lvl w:ilvl="0" w:tplc="BD9C9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6E31"/>
    <w:multiLevelType w:val="multilevel"/>
    <w:tmpl w:val="51E07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84527"/>
    <w:multiLevelType w:val="hybridMultilevel"/>
    <w:tmpl w:val="7DD60E6C"/>
    <w:lvl w:ilvl="0" w:tplc="8C4CC148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C1F"/>
    <w:multiLevelType w:val="multilevel"/>
    <w:tmpl w:val="1026D7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16A"/>
    <w:multiLevelType w:val="multilevel"/>
    <w:tmpl w:val="E9E0F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741DDB"/>
    <w:multiLevelType w:val="multilevel"/>
    <w:tmpl w:val="16E223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EF473ED"/>
    <w:multiLevelType w:val="hybridMultilevel"/>
    <w:tmpl w:val="ED741DEE"/>
    <w:lvl w:ilvl="0" w:tplc="CF34A5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F0E04"/>
    <w:multiLevelType w:val="multilevel"/>
    <w:tmpl w:val="AD844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467763B"/>
    <w:multiLevelType w:val="multilevel"/>
    <w:tmpl w:val="EF02E3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AAA22E5"/>
    <w:multiLevelType w:val="multilevel"/>
    <w:tmpl w:val="B7CCA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C36037D"/>
    <w:multiLevelType w:val="hybridMultilevel"/>
    <w:tmpl w:val="0D0A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13497"/>
    <w:rsid w:val="000442BE"/>
    <w:rsid w:val="0005773E"/>
    <w:rsid w:val="0008544A"/>
    <w:rsid w:val="00090D86"/>
    <w:rsid w:val="000A45BB"/>
    <w:rsid w:val="00104E12"/>
    <w:rsid w:val="00113AAD"/>
    <w:rsid w:val="00116CF5"/>
    <w:rsid w:val="0011770D"/>
    <w:rsid w:val="00122446"/>
    <w:rsid w:val="001D08B7"/>
    <w:rsid w:val="001D5043"/>
    <w:rsid w:val="001D775F"/>
    <w:rsid w:val="001E7870"/>
    <w:rsid w:val="001E7ABC"/>
    <w:rsid w:val="0020042E"/>
    <w:rsid w:val="0020196C"/>
    <w:rsid w:val="002065D1"/>
    <w:rsid w:val="002601EA"/>
    <w:rsid w:val="002668A5"/>
    <w:rsid w:val="002709F5"/>
    <w:rsid w:val="002B221C"/>
    <w:rsid w:val="002B7C47"/>
    <w:rsid w:val="002C07FF"/>
    <w:rsid w:val="002D3F71"/>
    <w:rsid w:val="002D42DB"/>
    <w:rsid w:val="003205ED"/>
    <w:rsid w:val="0033179C"/>
    <w:rsid w:val="00363C88"/>
    <w:rsid w:val="0038677B"/>
    <w:rsid w:val="003B38FA"/>
    <w:rsid w:val="003B3B9B"/>
    <w:rsid w:val="003E3DDD"/>
    <w:rsid w:val="003F69FA"/>
    <w:rsid w:val="00414FB8"/>
    <w:rsid w:val="00424969"/>
    <w:rsid w:val="00433186"/>
    <w:rsid w:val="0043509E"/>
    <w:rsid w:val="00441FC7"/>
    <w:rsid w:val="004607CC"/>
    <w:rsid w:val="00460D5B"/>
    <w:rsid w:val="00463185"/>
    <w:rsid w:val="00465173"/>
    <w:rsid w:val="0048252E"/>
    <w:rsid w:val="004A3393"/>
    <w:rsid w:val="004B4601"/>
    <w:rsid w:val="004E1638"/>
    <w:rsid w:val="004E3254"/>
    <w:rsid w:val="00502ACA"/>
    <w:rsid w:val="00551E97"/>
    <w:rsid w:val="005531EC"/>
    <w:rsid w:val="005B31EC"/>
    <w:rsid w:val="005B4E43"/>
    <w:rsid w:val="005B79E8"/>
    <w:rsid w:val="005C5A9D"/>
    <w:rsid w:val="005D66CA"/>
    <w:rsid w:val="005D79AD"/>
    <w:rsid w:val="005E5A94"/>
    <w:rsid w:val="00605D4B"/>
    <w:rsid w:val="00614CB6"/>
    <w:rsid w:val="00621E3F"/>
    <w:rsid w:val="00623374"/>
    <w:rsid w:val="006333D1"/>
    <w:rsid w:val="006346F6"/>
    <w:rsid w:val="006358A6"/>
    <w:rsid w:val="00644499"/>
    <w:rsid w:val="00676171"/>
    <w:rsid w:val="00686A62"/>
    <w:rsid w:val="006B3984"/>
    <w:rsid w:val="006B6006"/>
    <w:rsid w:val="006F045A"/>
    <w:rsid w:val="006F49FE"/>
    <w:rsid w:val="00704218"/>
    <w:rsid w:val="00725374"/>
    <w:rsid w:val="007512AA"/>
    <w:rsid w:val="00764965"/>
    <w:rsid w:val="0076522D"/>
    <w:rsid w:val="007B6333"/>
    <w:rsid w:val="007F4D4D"/>
    <w:rsid w:val="00803D87"/>
    <w:rsid w:val="008128BE"/>
    <w:rsid w:val="00820BCF"/>
    <w:rsid w:val="00826097"/>
    <w:rsid w:val="008360C3"/>
    <w:rsid w:val="008464E7"/>
    <w:rsid w:val="00863577"/>
    <w:rsid w:val="00884E08"/>
    <w:rsid w:val="0088683A"/>
    <w:rsid w:val="008879CF"/>
    <w:rsid w:val="00891807"/>
    <w:rsid w:val="00892196"/>
    <w:rsid w:val="00892A1E"/>
    <w:rsid w:val="008E7C9B"/>
    <w:rsid w:val="008F5DCA"/>
    <w:rsid w:val="00916E35"/>
    <w:rsid w:val="00917F5C"/>
    <w:rsid w:val="00951E8E"/>
    <w:rsid w:val="00986228"/>
    <w:rsid w:val="009A776C"/>
    <w:rsid w:val="009C5E31"/>
    <w:rsid w:val="009E26CF"/>
    <w:rsid w:val="009F3C1E"/>
    <w:rsid w:val="00A07320"/>
    <w:rsid w:val="00A15C93"/>
    <w:rsid w:val="00A225DA"/>
    <w:rsid w:val="00A36DF6"/>
    <w:rsid w:val="00A65094"/>
    <w:rsid w:val="00A732AB"/>
    <w:rsid w:val="00A74EEF"/>
    <w:rsid w:val="00A82D2F"/>
    <w:rsid w:val="00A85D32"/>
    <w:rsid w:val="00AD6287"/>
    <w:rsid w:val="00AF07A2"/>
    <w:rsid w:val="00AF6C1F"/>
    <w:rsid w:val="00B257B1"/>
    <w:rsid w:val="00B37D72"/>
    <w:rsid w:val="00B463AD"/>
    <w:rsid w:val="00B535B1"/>
    <w:rsid w:val="00B82DF6"/>
    <w:rsid w:val="00B91A27"/>
    <w:rsid w:val="00B972D3"/>
    <w:rsid w:val="00BB68AF"/>
    <w:rsid w:val="00BE0421"/>
    <w:rsid w:val="00C32FD6"/>
    <w:rsid w:val="00C3306F"/>
    <w:rsid w:val="00C36FB6"/>
    <w:rsid w:val="00C476FB"/>
    <w:rsid w:val="00C5237B"/>
    <w:rsid w:val="00C73078"/>
    <w:rsid w:val="00C87916"/>
    <w:rsid w:val="00CA583C"/>
    <w:rsid w:val="00CA5C2B"/>
    <w:rsid w:val="00CC1913"/>
    <w:rsid w:val="00CD6051"/>
    <w:rsid w:val="00D94891"/>
    <w:rsid w:val="00D96D6B"/>
    <w:rsid w:val="00DA66FE"/>
    <w:rsid w:val="00DE2C43"/>
    <w:rsid w:val="00DF2A2D"/>
    <w:rsid w:val="00E02E4C"/>
    <w:rsid w:val="00E21114"/>
    <w:rsid w:val="00E21CAC"/>
    <w:rsid w:val="00E2223E"/>
    <w:rsid w:val="00E2568E"/>
    <w:rsid w:val="00E81E53"/>
    <w:rsid w:val="00E829DE"/>
    <w:rsid w:val="00EB11EF"/>
    <w:rsid w:val="00EE210A"/>
    <w:rsid w:val="00EE3FB8"/>
    <w:rsid w:val="00F33E56"/>
    <w:rsid w:val="00F3445A"/>
    <w:rsid w:val="00F37326"/>
    <w:rsid w:val="00F758F7"/>
    <w:rsid w:val="00FD26DE"/>
    <w:rsid w:val="00FE113B"/>
    <w:rsid w:val="00FE27D8"/>
    <w:rsid w:val="00FF467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9987-AEFC-4B22-85EF-09B0079F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triskovat</cp:lastModifiedBy>
  <cp:revision>3</cp:revision>
  <dcterms:created xsi:type="dcterms:W3CDTF">2015-12-29T12:50:00Z</dcterms:created>
  <dcterms:modified xsi:type="dcterms:W3CDTF">2016-01-05T13:56:00Z</dcterms:modified>
</cp:coreProperties>
</file>